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Ak"/>
        <w:tblpPr w:leftFromText="141" w:rightFromText="141" w:vertAnchor="page" w:horzAnchor="margin" w:tblpXSpec="center" w:tblpY="1621"/>
        <w:tblW w:w="16110" w:type="dxa"/>
        <w:tblLook w:val="04A0" w:firstRow="1" w:lastRow="0" w:firstColumn="1" w:lastColumn="0" w:noHBand="0" w:noVBand="1"/>
      </w:tblPr>
      <w:tblGrid>
        <w:gridCol w:w="1838"/>
        <w:gridCol w:w="2977"/>
        <w:gridCol w:w="2027"/>
        <w:gridCol w:w="1831"/>
        <w:gridCol w:w="1444"/>
        <w:gridCol w:w="1905"/>
        <w:gridCol w:w="1394"/>
        <w:gridCol w:w="2665"/>
        <w:gridCol w:w="29"/>
      </w:tblGrid>
      <w:tr w:rsidR="0083119D" w:rsidRPr="0034439C" w:rsidTr="00BD19C8">
        <w:trPr>
          <w:trHeight w:val="246"/>
        </w:trPr>
        <w:tc>
          <w:tcPr>
            <w:tcW w:w="16110" w:type="dxa"/>
            <w:gridSpan w:val="9"/>
            <w:shd w:val="clear" w:color="auto" w:fill="F2F2F2" w:themeFill="background1" w:themeFillShade="F2"/>
          </w:tcPr>
          <w:p w:rsidR="0083119D" w:rsidRPr="0034439C" w:rsidRDefault="0083119D" w:rsidP="00BD19C8">
            <w:pPr>
              <w:pStyle w:val="AralkYok"/>
              <w:jc w:val="center"/>
              <w:rPr>
                <w:rFonts w:ascii="Cambria" w:hAnsi="Cambria"/>
                <w:b/>
                <w:bCs/>
                <w:color w:val="002060"/>
              </w:rPr>
            </w:pPr>
            <w:r w:rsidRPr="00BD19C8">
              <w:rPr>
                <w:rFonts w:ascii="Cambria" w:hAnsi="Cambria"/>
                <w:b/>
                <w:bCs/>
                <w:color w:val="002060"/>
                <w:sz w:val="20"/>
              </w:rPr>
              <w:t>2547 SAYILI KANUNA TABİ ÖĞRETİM ELEMANLARININ YÜKSEKÖĞRETİM KURUMLARINDA DİSİPLİN İŞLEMLERİ-</w:t>
            </w:r>
            <w:r w:rsidR="00BD19C8">
              <w:rPr>
                <w:rFonts w:ascii="Cambria" w:hAnsi="Cambria"/>
                <w:b/>
                <w:bCs/>
                <w:color w:val="002060"/>
                <w:sz w:val="20"/>
              </w:rPr>
              <w:t xml:space="preserve"> </w:t>
            </w:r>
            <w:r w:rsidRPr="00BD19C8">
              <w:rPr>
                <w:rFonts w:ascii="Cambria" w:hAnsi="Cambria"/>
                <w:b/>
                <w:bCs/>
                <w:color w:val="002060"/>
                <w:sz w:val="20"/>
              </w:rPr>
              <w:t>KADEME İLERLEMESİNİN DURDURULMASI</w:t>
            </w:r>
          </w:p>
        </w:tc>
      </w:tr>
      <w:tr w:rsidR="0083119D" w:rsidRPr="0034439C" w:rsidTr="00BD19C8">
        <w:trPr>
          <w:gridAfter w:val="1"/>
          <w:wAfter w:w="29" w:type="dxa"/>
        </w:trPr>
        <w:tc>
          <w:tcPr>
            <w:tcW w:w="1838" w:type="dxa"/>
            <w:shd w:val="clear" w:color="auto" w:fill="F2F2F2" w:themeFill="background1" w:themeFillShade="F2"/>
          </w:tcPr>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CEZA TÜRÜ</w:t>
            </w:r>
          </w:p>
        </w:tc>
        <w:tc>
          <w:tcPr>
            <w:tcW w:w="2977" w:type="dxa"/>
            <w:shd w:val="clear" w:color="auto" w:fill="F2F2F2" w:themeFill="background1" w:themeFillShade="F2"/>
          </w:tcPr>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 xml:space="preserve">SUÇUN </w:t>
            </w:r>
          </w:p>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KONUSU</w:t>
            </w:r>
          </w:p>
        </w:tc>
        <w:tc>
          <w:tcPr>
            <w:tcW w:w="2027" w:type="dxa"/>
            <w:shd w:val="clear" w:color="auto" w:fill="F2F2F2" w:themeFill="background1" w:themeFillShade="F2"/>
          </w:tcPr>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CEZA VERMEYE YETKİLİ AMİRLER</w:t>
            </w:r>
          </w:p>
        </w:tc>
        <w:tc>
          <w:tcPr>
            <w:tcW w:w="1831" w:type="dxa"/>
            <w:shd w:val="clear" w:color="auto" w:fill="F2F2F2" w:themeFill="background1" w:themeFillShade="F2"/>
          </w:tcPr>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İTİRAZ</w:t>
            </w:r>
          </w:p>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 xml:space="preserve"> MERCİ</w:t>
            </w:r>
          </w:p>
        </w:tc>
        <w:tc>
          <w:tcPr>
            <w:tcW w:w="1444" w:type="dxa"/>
            <w:shd w:val="clear" w:color="auto" w:fill="F2F2F2" w:themeFill="background1" w:themeFillShade="F2"/>
          </w:tcPr>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 xml:space="preserve">İTİRAZ </w:t>
            </w:r>
          </w:p>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SÜRESİ</w:t>
            </w:r>
          </w:p>
        </w:tc>
        <w:tc>
          <w:tcPr>
            <w:tcW w:w="1905" w:type="dxa"/>
            <w:shd w:val="clear" w:color="auto" w:fill="F2F2F2" w:themeFill="background1" w:themeFillShade="F2"/>
          </w:tcPr>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 xml:space="preserve">ZAMAN AŞIMI </w:t>
            </w:r>
          </w:p>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SÜRESİ</w:t>
            </w:r>
          </w:p>
        </w:tc>
        <w:tc>
          <w:tcPr>
            <w:tcW w:w="1394" w:type="dxa"/>
            <w:shd w:val="clear" w:color="auto" w:fill="F2F2F2" w:themeFill="background1" w:themeFillShade="F2"/>
          </w:tcPr>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SİLİNME SÜRESİ</w:t>
            </w:r>
          </w:p>
        </w:tc>
        <w:tc>
          <w:tcPr>
            <w:tcW w:w="2665" w:type="dxa"/>
            <w:shd w:val="clear" w:color="auto" w:fill="F2F2F2" w:themeFill="background1" w:themeFillShade="F2"/>
          </w:tcPr>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 xml:space="preserve">DİĞER ÖNEMLİ </w:t>
            </w:r>
          </w:p>
          <w:p w:rsidR="0083119D" w:rsidRPr="0034439C" w:rsidRDefault="0083119D" w:rsidP="00BD19C8">
            <w:pPr>
              <w:pStyle w:val="AralkYok"/>
              <w:jc w:val="center"/>
              <w:rPr>
                <w:rFonts w:ascii="Cambria" w:hAnsi="Cambria"/>
                <w:b/>
                <w:bCs/>
                <w:color w:val="002060"/>
                <w:sz w:val="20"/>
              </w:rPr>
            </w:pPr>
            <w:r w:rsidRPr="0034439C">
              <w:rPr>
                <w:rFonts w:ascii="Cambria" w:hAnsi="Cambria"/>
                <w:b/>
                <w:bCs/>
                <w:color w:val="002060"/>
                <w:sz w:val="20"/>
              </w:rPr>
              <w:t>NOTLAR</w:t>
            </w:r>
          </w:p>
        </w:tc>
      </w:tr>
      <w:tr w:rsidR="0083119D" w:rsidRPr="0034439C" w:rsidTr="00BD19C8">
        <w:trPr>
          <w:gridAfter w:val="1"/>
          <w:wAfter w:w="29" w:type="dxa"/>
          <w:trHeight w:val="1423"/>
        </w:trPr>
        <w:tc>
          <w:tcPr>
            <w:tcW w:w="1838" w:type="dxa"/>
            <w:shd w:val="clear" w:color="auto" w:fill="F2F2F2" w:themeFill="background1" w:themeFillShade="F2"/>
          </w:tcPr>
          <w:p w:rsidR="0034439C" w:rsidRPr="0034439C" w:rsidRDefault="0034439C" w:rsidP="00BD19C8">
            <w:pPr>
              <w:pStyle w:val="AralkYok"/>
              <w:rPr>
                <w:rFonts w:ascii="Cambria" w:hAnsi="Cambria"/>
                <w:b/>
                <w:bCs/>
                <w:color w:val="002060"/>
                <w:sz w:val="20"/>
              </w:rPr>
            </w:pPr>
            <w:r w:rsidRPr="0034439C">
              <w:rPr>
                <w:rFonts w:ascii="Cambria" w:hAnsi="Cambria"/>
                <w:b/>
                <w:bCs/>
                <w:color w:val="002060"/>
                <w:sz w:val="20"/>
              </w:rPr>
              <w:t>KADEME İLERLEMESİNİN DURDURULMASI-53/a-4</w:t>
            </w:r>
          </w:p>
          <w:p w:rsidR="0083119D" w:rsidRPr="0034439C" w:rsidRDefault="0034439C" w:rsidP="00BD19C8">
            <w:pPr>
              <w:pStyle w:val="AralkYok"/>
              <w:jc w:val="both"/>
              <w:rPr>
                <w:rFonts w:ascii="Cambria" w:hAnsi="Cambria"/>
                <w:b/>
                <w:bCs/>
                <w:color w:val="002060"/>
                <w:sz w:val="18"/>
              </w:rPr>
            </w:pPr>
            <w:r w:rsidRPr="0034439C">
              <w:rPr>
                <w:rFonts w:ascii="Cambria" w:hAnsi="Cambria"/>
                <w:sz w:val="18"/>
              </w:rPr>
              <w:t>“</w:t>
            </w:r>
            <w:r w:rsidRPr="009A4A3A">
              <w:rPr>
                <w:rFonts w:ascii="Cambria" w:hAnsi="Cambria"/>
                <w:b/>
                <w:i/>
                <w:color w:val="FF0000"/>
                <w:sz w:val="20"/>
              </w:rPr>
              <w:t>Devlet yükseköğretim kurumlarında “görev yapan aylıklı öğretim elemanlarının bulundukları kademedeki ilerlemelerin,” fiilin ağırlık derecesine göre bir ila üç yıl arasında durdurulması”</w:t>
            </w:r>
          </w:p>
        </w:tc>
        <w:tc>
          <w:tcPr>
            <w:tcW w:w="2977" w:type="dxa"/>
            <w:shd w:val="clear" w:color="auto" w:fill="F2F2F2" w:themeFill="background1" w:themeFillShade="F2"/>
          </w:tcPr>
          <w:p w:rsidR="0083119D" w:rsidRPr="0034439C" w:rsidRDefault="0034439C" w:rsidP="00BD19C8">
            <w:pPr>
              <w:pStyle w:val="AralkYok"/>
              <w:jc w:val="both"/>
              <w:rPr>
                <w:rFonts w:ascii="Cambria" w:hAnsi="Cambria"/>
                <w:sz w:val="18"/>
              </w:rPr>
            </w:pPr>
            <w:r w:rsidRPr="0034439C">
              <w:rPr>
                <w:rFonts w:ascii="Cambria" w:hAnsi="Cambria"/>
                <w:sz w:val="18"/>
              </w:rPr>
              <w:t>a) Hizmet içinde resmi bir belgeyi tahrif etmek, yok etmek, gizlemek veya sahte olarak düzenlemek, sahte belgeyi bilerek kullanmak, kullandırmak.</w:t>
            </w:r>
          </w:p>
          <w:p w:rsidR="0034439C" w:rsidRDefault="0034439C" w:rsidP="00BD19C8">
            <w:pPr>
              <w:pStyle w:val="AralkYok"/>
              <w:jc w:val="both"/>
              <w:rPr>
                <w:rFonts w:ascii="Cambria" w:hAnsi="Cambria"/>
                <w:sz w:val="18"/>
              </w:rPr>
            </w:pPr>
            <w:r w:rsidRPr="0034439C">
              <w:rPr>
                <w:rFonts w:ascii="Cambria" w:hAnsi="Cambria"/>
                <w:sz w:val="18"/>
              </w:rPr>
              <w:t>b) Görevi sebebiyle veya görevi sırasında doğrudan veya dolaylı olarak her ne ad altında olursa olsun menfaat sağlamak, iş sahiplerinden veya öğrencilerden borç para istemek veya almak.</w:t>
            </w:r>
          </w:p>
          <w:p w:rsidR="0034439C" w:rsidRDefault="0034439C" w:rsidP="00BD19C8">
            <w:pPr>
              <w:pStyle w:val="AralkYok"/>
              <w:jc w:val="both"/>
              <w:rPr>
                <w:rFonts w:ascii="Cambria" w:hAnsi="Cambria"/>
                <w:sz w:val="18"/>
              </w:rPr>
            </w:pPr>
            <w:r w:rsidRPr="0034439C">
              <w:rPr>
                <w:rFonts w:ascii="Cambria" w:hAnsi="Cambria"/>
                <w:sz w:val="18"/>
              </w:rPr>
              <w:t xml:space="preserve"> c) Kamu hizmetlerinin yürütülmesini engellemek, boykot ve işgal eyleminde bulunmak. </w:t>
            </w:r>
          </w:p>
          <w:p w:rsidR="0034439C" w:rsidRDefault="0034439C" w:rsidP="00BD19C8">
            <w:pPr>
              <w:pStyle w:val="AralkYok"/>
              <w:jc w:val="both"/>
              <w:rPr>
                <w:rFonts w:ascii="Cambria" w:hAnsi="Cambria"/>
                <w:sz w:val="18"/>
              </w:rPr>
            </w:pPr>
            <w:r w:rsidRPr="0034439C">
              <w:rPr>
                <w:rFonts w:ascii="Cambria" w:hAnsi="Cambria"/>
                <w:sz w:val="18"/>
              </w:rPr>
              <w:t xml:space="preserve">d) Ders, seminer, konferans, laboratuvar, grafik çalışma ve sınav gibi öğretim çalışmalarının yapılmasına engel olmak; görevlileri, öğrencileri eğitim-öğretim alanı dışına çıkartmak; görev yapılmasına engel olmak; öğrencileri bu tür davranışlara teşvik etmek veya zorlamak ya da bu maksatla yapılacak hareketlere iştirak etmek. </w:t>
            </w:r>
          </w:p>
          <w:p w:rsidR="0034439C" w:rsidRDefault="0034439C" w:rsidP="00BD19C8">
            <w:pPr>
              <w:pStyle w:val="AralkYok"/>
              <w:jc w:val="both"/>
              <w:rPr>
                <w:rFonts w:ascii="Cambria" w:hAnsi="Cambria"/>
                <w:sz w:val="18"/>
              </w:rPr>
            </w:pPr>
            <w:r w:rsidRPr="0034439C">
              <w:rPr>
                <w:rFonts w:ascii="Cambria" w:hAnsi="Cambria"/>
                <w:sz w:val="18"/>
              </w:rPr>
              <w:t xml:space="preserve">e) Basın-yayın veya bilişim sistemlerini kullanarak amiri, iş arkadaşları, personeli, hizmetten yararlananlar veya öğrencileri hakkında gerçeğe aykırı açıklamada veya haksız isnatta bulunmak veya rızaları olmaksızın özel hayatlarıyla ilgili açıklama yapmak. </w:t>
            </w:r>
          </w:p>
          <w:p w:rsidR="0034439C" w:rsidRDefault="0034439C" w:rsidP="00BD19C8">
            <w:pPr>
              <w:pStyle w:val="AralkYok"/>
              <w:jc w:val="both"/>
              <w:rPr>
                <w:rFonts w:ascii="Cambria" w:hAnsi="Cambria"/>
                <w:sz w:val="18"/>
              </w:rPr>
            </w:pPr>
            <w:r w:rsidRPr="0034439C">
              <w:rPr>
                <w:rFonts w:ascii="Cambria" w:hAnsi="Cambria"/>
                <w:sz w:val="18"/>
              </w:rPr>
              <w:t>f) İnsanlarla ilgili biyomedikal araştırmalarda ve diğer klinik araştırmalarda ilgili mevzuat hükümlerine aykırı davranmak suretiyle kişilere zarar vermek.</w:t>
            </w:r>
          </w:p>
          <w:p w:rsidR="0034439C" w:rsidRPr="0034439C" w:rsidRDefault="0034439C" w:rsidP="00BD19C8">
            <w:pPr>
              <w:pStyle w:val="AralkYok"/>
              <w:jc w:val="both"/>
              <w:rPr>
                <w:rFonts w:ascii="Cambria" w:hAnsi="Cambria"/>
                <w:sz w:val="18"/>
              </w:rPr>
            </w:pPr>
            <w:r w:rsidRPr="0034439C">
              <w:rPr>
                <w:rFonts w:ascii="Cambria" w:hAnsi="Cambria"/>
                <w:sz w:val="18"/>
              </w:rPr>
              <w:lastRenderedPageBreak/>
              <w:t xml:space="preserve"> g) Bilimsel araştırmalarda gerçekte var olmayan veya tahrif edilmiş verileri kullanmak, araştırma kayıtları veya elde edilen verileri tahrif etmek, araştırmada kullanılmayan cihaz veya materyalleri kullanılmış gibi göstermek, destek alınan kişi ve kuruluşların çıkarları doğrultusunda araştırma sonuçlarını tahrif etmek veya şekillendirmek.</w:t>
            </w:r>
          </w:p>
          <w:p w:rsidR="0034439C" w:rsidRPr="0034439C" w:rsidRDefault="0034439C" w:rsidP="00BD19C8">
            <w:pPr>
              <w:pStyle w:val="AralkYok"/>
              <w:jc w:val="both"/>
              <w:rPr>
                <w:rFonts w:ascii="Cambria" w:hAnsi="Cambria"/>
                <w:sz w:val="18"/>
              </w:rPr>
            </w:pPr>
            <w:r w:rsidRPr="0034439C">
              <w:rPr>
                <w:rFonts w:ascii="Cambria" w:hAnsi="Cambria"/>
                <w:sz w:val="18"/>
              </w:rPr>
              <w:t>h) Görevin yerine getirilmesinde dil, ırk, renk, cinsiyet, siyasi düşünce, felsefi inanç, din ve mezhep ayrımı yapmak, “görevin gereklerine aykırı davranmak suretiyle” kişilerin yarar veya zararını hedef tutan davranışlarda bulunmak.</w:t>
            </w:r>
          </w:p>
          <w:p w:rsidR="0034439C" w:rsidRPr="0034439C" w:rsidRDefault="0034439C" w:rsidP="00BD19C8">
            <w:pPr>
              <w:pStyle w:val="AralkYok"/>
              <w:jc w:val="both"/>
              <w:rPr>
                <w:rFonts w:ascii="Cambria" w:hAnsi="Cambria"/>
                <w:sz w:val="18"/>
              </w:rPr>
            </w:pPr>
            <w:r w:rsidRPr="0034439C">
              <w:rPr>
                <w:rFonts w:ascii="Cambria" w:hAnsi="Cambria"/>
                <w:sz w:val="18"/>
              </w:rPr>
              <w:t>j) Mükerrer yayınlarını akademik atama ve yükseltmelerde ayrı yayınlar olarak sunmak.</w:t>
            </w:r>
          </w:p>
          <w:p w:rsidR="0034439C" w:rsidRDefault="0034439C" w:rsidP="00BD19C8">
            <w:pPr>
              <w:pStyle w:val="AralkYok"/>
              <w:jc w:val="both"/>
              <w:rPr>
                <w:rFonts w:ascii="Cambria" w:hAnsi="Cambria"/>
                <w:sz w:val="18"/>
              </w:rPr>
            </w:pPr>
            <w:r w:rsidRPr="0034439C">
              <w:rPr>
                <w:rFonts w:ascii="Cambria" w:hAnsi="Cambria"/>
                <w:sz w:val="18"/>
              </w:rPr>
              <w:t xml:space="preserve">k) Göreve sarhoş gelmek, görev yerinde alkollü içki içmek. </w:t>
            </w:r>
          </w:p>
          <w:p w:rsidR="0034439C" w:rsidRDefault="0034439C" w:rsidP="00BD19C8">
            <w:pPr>
              <w:pStyle w:val="AralkYok"/>
              <w:jc w:val="both"/>
              <w:rPr>
                <w:rFonts w:ascii="Cambria" w:hAnsi="Cambria"/>
                <w:sz w:val="18"/>
              </w:rPr>
            </w:pPr>
            <w:r w:rsidRPr="0034439C">
              <w:rPr>
                <w:rFonts w:ascii="Cambria" w:hAnsi="Cambria"/>
                <w:sz w:val="18"/>
              </w:rPr>
              <w:t xml:space="preserve">l) Gerçeğe aykırı rapor ve belge düzenlemek. m) İlgili kanunların tanıdığı istisnalar dışında ticaret yapmak, yasaklanan diğer kazanç getirici faaliyetlerde bulunmak. </w:t>
            </w:r>
          </w:p>
          <w:p w:rsidR="0034439C" w:rsidRDefault="0034439C" w:rsidP="00BD19C8">
            <w:pPr>
              <w:pStyle w:val="AralkYok"/>
              <w:jc w:val="both"/>
              <w:rPr>
                <w:rFonts w:ascii="Cambria" w:hAnsi="Cambria"/>
                <w:sz w:val="18"/>
              </w:rPr>
            </w:pPr>
            <w:r w:rsidRPr="0034439C">
              <w:rPr>
                <w:rFonts w:ascii="Cambria" w:hAnsi="Cambria"/>
                <w:sz w:val="18"/>
              </w:rPr>
              <w:t xml:space="preserve">n) Görevi gereği öğrendiği ve gizli kalması gereken bilgi ve belgeleri açıklamak. </w:t>
            </w:r>
          </w:p>
          <w:p w:rsidR="0034439C" w:rsidRPr="0034439C" w:rsidRDefault="0034439C" w:rsidP="00BD19C8">
            <w:pPr>
              <w:pStyle w:val="AralkYok"/>
              <w:jc w:val="both"/>
              <w:rPr>
                <w:rFonts w:ascii="Cambria" w:hAnsi="Cambria"/>
                <w:b/>
                <w:bCs/>
                <w:color w:val="002060"/>
                <w:sz w:val="14"/>
              </w:rPr>
            </w:pPr>
            <w:r w:rsidRPr="0034439C">
              <w:rPr>
                <w:rFonts w:ascii="Cambria" w:hAnsi="Cambria"/>
                <w:sz w:val="18"/>
              </w:rPr>
              <w:t>o) Amirine, maiyetindekilere, iş arkadaşları veya hizmetten yararlananlara hakarette bulunmak veya bunları tehdit etmek.</w:t>
            </w:r>
          </w:p>
          <w:p w:rsidR="0083119D" w:rsidRPr="0034439C" w:rsidRDefault="0083119D" w:rsidP="00BD19C8">
            <w:pPr>
              <w:pStyle w:val="AralkYok"/>
              <w:jc w:val="both"/>
              <w:rPr>
                <w:rFonts w:ascii="Cambria" w:hAnsi="Cambria"/>
                <w:b/>
                <w:bCs/>
                <w:color w:val="002060"/>
                <w:sz w:val="18"/>
              </w:rPr>
            </w:pPr>
          </w:p>
        </w:tc>
        <w:tc>
          <w:tcPr>
            <w:tcW w:w="2027" w:type="dxa"/>
            <w:shd w:val="clear" w:color="auto" w:fill="F2F2F2" w:themeFill="background1" w:themeFillShade="F2"/>
          </w:tcPr>
          <w:p w:rsidR="0083119D" w:rsidRPr="0034439C" w:rsidRDefault="0083119D" w:rsidP="00BD19C8">
            <w:pPr>
              <w:pStyle w:val="AralkYok"/>
              <w:jc w:val="both"/>
              <w:rPr>
                <w:rFonts w:ascii="Cambria" w:hAnsi="Cambria"/>
                <w:sz w:val="18"/>
              </w:rPr>
            </w:pPr>
            <w:r w:rsidRPr="0034439C">
              <w:rPr>
                <w:rFonts w:ascii="Cambria" w:hAnsi="Cambria"/>
                <w:sz w:val="18"/>
              </w:rPr>
              <w:lastRenderedPageBreak/>
              <w:t xml:space="preserve">Kademe ilerlemesinin durdurulması cezaları kişinin görevli olduğu </w:t>
            </w:r>
            <w:r w:rsidRPr="0034439C">
              <w:rPr>
                <w:rFonts w:ascii="Cambria" w:hAnsi="Cambria"/>
                <w:b/>
                <w:color w:val="FF0000"/>
                <w:sz w:val="18"/>
              </w:rPr>
              <w:t>BİRİMDEKİ DİSİPLİN KURULU</w:t>
            </w:r>
            <w:r w:rsidRPr="0034439C">
              <w:rPr>
                <w:rFonts w:ascii="Cambria" w:hAnsi="Cambria"/>
                <w:sz w:val="18"/>
              </w:rPr>
              <w:t xml:space="preserve"> kararı ile verilir.</w:t>
            </w:r>
          </w:p>
          <w:p w:rsidR="0083119D" w:rsidRPr="0034439C" w:rsidRDefault="0083119D" w:rsidP="00BD19C8">
            <w:pPr>
              <w:pStyle w:val="AralkYok"/>
              <w:jc w:val="both"/>
              <w:rPr>
                <w:rFonts w:ascii="Cambria" w:hAnsi="Cambria"/>
                <w:sz w:val="18"/>
              </w:rPr>
            </w:pPr>
          </w:p>
          <w:p w:rsidR="0083119D" w:rsidRPr="0034439C" w:rsidRDefault="0083119D" w:rsidP="00BD19C8">
            <w:pPr>
              <w:pStyle w:val="AralkYok"/>
              <w:jc w:val="both"/>
              <w:rPr>
                <w:rFonts w:ascii="Cambria" w:hAnsi="Cambria"/>
                <w:b/>
                <w:bCs/>
                <w:color w:val="002060"/>
                <w:sz w:val="18"/>
              </w:rPr>
            </w:pPr>
            <w:r w:rsidRPr="0034439C">
              <w:rPr>
                <w:rFonts w:ascii="Cambria" w:hAnsi="Cambria"/>
                <w:sz w:val="18"/>
              </w:rPr>
              <w:t>Rektörlüğe bağlı birimlerde görev yapan idari personel için Genel Sekreter, Personel Daire Başkanı ve Hukuk Müşavirinden oluşan Komisyon tarafından verilir.</w:t>
            </w:r>
          </w:p>
        </w:tc>
        <w:tc>
          <w:tcPr>
            <w:tcW w:w="1831" w:type="dxa"/>
            <w:shd w:val="clear" w:color="auto" w:fill="F2F2F2" w:themeFill="background1" w:themeFillShade="F2"/>
          </w:tcPr>
          <w:p w:rsidR="0083119D" w:rsidRPr="0034439C" w:rsidRDefault="0083119D" w:rsidP="00BD19C8">
            <w:pPr>
              <w:pStyle w:val="AralkYok"/>
              <w:rPr>
                <w:rFonts w:ascii="Cambria" w:hAnsi="Cambria"/>
                <w:b/>
                <w:bCs/>
                <w:color w:val="002060"/>
                <w:sz w:val="18"/>
              </w:rPr>
            </w:pPr>
            <w:r w:rsidRPr="0034439C">
              <w:rPr>
                <w:rFonts w:ascii="Cambria" w:hAnsi="Cambria"/>
                <w:sz w:val="18"/>
              </w:rPr>
              <w:t xml:space="preserve">Kademe İlerlemesinin Durdurulması cezasına karşı itiraz </w:t>
            </w:r>
            <w:r w:rsidRPr="0034439C">
              <w:rPr>
                <w:rFonts w:ascii="Cambria" w:hAnsi="Cambria"/>
                <w:b/>
                <w:color w:val="FF0000"/>
                <w:sz w:val="18"/>
              </w:rPr>
              <w:t>ÜNİVERSİTE DİSİPLİN KURULUNA</w:t>
            </w:r>
            <w:r w:rsidRPr="0034439C">
              <w:rPr>
                <w:rFonts w:ascii="Cambria" w:hAnsi="Cambria"/>
                <w:color w:val="FF0000"/>
                <w:sz w:val="18"/>
              </w:rPr>
              <w:t xml:space="preserve"> </w:t>
            </w:r>
            <w:r w:rsidRPr="0034439C">
              <w:rPr>
                <w:rFonts w:ascii="Cambria" w:hAnsi="Cambria"/>
                <w:sz w:val="18"/>
              </w:rPr>
              <w:t>yapılır.</w:t>
            </w:r>
          </w:p>
        </w:tc>
        <w:tc>
          <w:tcPr>
            <w:tcW w:w="1444" w:type="dxa"/>
            <w:shd w:val="clear" w:color="auto" w:fill="F2F2F2" w:themeFill="background1" w:themeFillShade="F2"/>
          </w:tcPr>
          <w:p w:rsidR="0083119D" w:rsidRPr="0034439C" w:rsidRDefault="0083119D" w:rsidP="00BD19C8">
            <w:pPr>
              <w:pStyle w:val="AralkYok"/>
              <w:rPr>
                <w:rFonts w:ascii="Cambria" w:hAnsi="Cambria"/>
                <w:b/>
                <w:color w:val="FF0000"/>
                <w:sz w:val="18"/>
              </w:rPr>
            </w:pPr>
            <w:r w:rsidRPr="0034439C">
              <w:rPr>
                <w:rFonts w:ascii="Cambria" w:hAnsi="Cambria"/>
                <w:sz w:val="18"/>
              </w:rPr>
              <w:t>Cezanın tebliğ tarihinden itibaren</w:t>
            </w:r>
            <w:r w:rsidRPr="0034439C">
              <w:rPr>
                <w:rFonts w:ascii="Cambria" w:hAnsi="Cambria"/>
                <w:b/>
                <w:sz w:val="18"/>
              </w:rPr>
              <w:t xml:space="preserve"> </w:t>
            </w:r>
            <w:r w:rsidRPr="0034439C">
              <w:rPr>
                <w:rFonts w:ascii="Cambria" w:hAnsi="Cambria"/>
                <w:b/>
                <w:color w:val="FF0000"/>
                <w:sz w:val="18"/>
              </w:rPr>
              <w:t>YEDİ GÜNDÜR.</w:t>
            </w:r>
          </w:p>
          <w:p w:rsidR="0083119D" w:rsidRPr="0034439C" w:rsidRDefault="0083119D" w:rsidP="00BD19C8">
            <w:pPr>
              <w:pStyle w:val="AralkYok"/>
              <w:rPr>
                <w:rFonts w:ascii="Cambria" w:hAnsi="Cambria"/>
                <w:b/>
                <w:color w:val="FF0000"/>
                <w:sz w:val="18"/>
              </w:rPr>
            </w:pPr>
          </w:p>
          <w:p w:rsidR="0083119D" w:rsidRPr="0034439C" w:rsidRDefault="0083119D" w:rsidP="00BD19C8">
            <w:pPr>
              <w:pStyle w:val="AralkYok"/>
              <w:rPr>
                <w:rFonts w:ascii="Cambria" w:hAnsi="Cambria"/>
                <w:color w:val="FF0000"/>
                <w:sz w:val="18"/>
              </w:rPr>
            </w:pPr>
            <w:r w:rsidRPr="0034439C">
              <w:rPr>
                <w:rFonts w:ascii="Cambria" w:hAnsi="Cambria"/>
                <w:color w:val="000000" w:themeColor="text1"/>
                <w:sz w:val="18"/>
              </w:rPr>
              <w:t xml:space="preserve">İtiraz mercileri, itiraz tarihinden itibaren </w:t>
            </w:r>
            <w:r w:rsidRPr="0034439C">
              <w:rPr>
                <w:rFonts w:ascii="Cambria" w:hAnsi="Cambria"/>
                <w:b/>
                <w:color w:val="FF0000"/>
                <w:sz w:val="18"/>
              </w:rPr>
              <w:t>ALTMIŞ GÜN</w:t>
            </w:r>
            <w:r w:rsidRPr="0034439C">
              <w:rPr>
                <w:rFonts w:ascii="Cambria" w:hAnsi="Cambria"/>
                <w:color w:val="FF0000"/>
                <w:sz w:val="18"/>
              </w:rPr>
              <w:t xml:space="preserve"> </w:t>
            </w:r>
          </w:p>
          <w:p w:rsidR="0083119D" w:rsidRPr="0034439C" w:rsidRDefault="0083119D" w:rsidP="00BD19C8">
            <w:pPr>
              <w:pStyle w:val="AralkYok"/>
              <w:rPr>
                <w:rFonts w:ascii="Cambria" w:hAnsi="Cambria"/>
                <w:sz w:val="18"/>
              </w:rPr>
            </w:pPr>
            <w:r w:rsidRPr="0034439C">
              <w:rPr>
                <w:rFonts w:ascii="Cambria" w:hAnsi="Cambria"/>
                <w:color w:val="000000" w:themeColor="text1"/>
                <w:sz w:val="18"/>
              </w:rPr>
              <w:t>içinde karar verir.</w:t>
            </w:r>
          </w:p>
        </w:tc>
        <w:tc>
          <w:tcPr>
            <w:tcW w:w="1905" w:type="dxa"/>
            <w:shd w:val="clear" w:color="auto" w:fill="F2F2F2" w:themeFill="background1" w:themeFillShade="F2"/>
          </w:tcPr>
          <w:p w:rsidR="0083119D" w:rsidRPr="0034439C" w:rsidRDefault="0083119D" w:rsidP="00BD19C8">
            <w:pPr>
              <w:pStyle w:val="AralkYok"/>
              <w:jc w:val="both"/>
              <w:rPr>
                <w:rFonts w:ascii="Cambria" w:hAnsi="Cambria"/>
                <w:sz w:val="18"/>
              </w:rPr>
            </w:pPr>
            <w:r w:rsidRPr="0034439C">
              <w:rPr>
                <w:rFonts w:ascii="Cambria" w:hAnsi="Cambria"/>
                <w:sz w:val="18"/>
              </w:rPr>
              <w:t xml:space="preserve">Disiplin cezası verilmesini gerektiren fiil ve hallerin işlendiğinin öğrenildiği tarihten itibaren; </w:t>
            </w:r>
          </w:p>
          <w:p w:rsidR="0083119D" w:rsidRPr="0034439C" w:rsidRDefault="0083119D" w:rsidP="00BD19C8">
            <w:pPr>
              <w:pStyle w:val="AralkYok"/>
              <w:jc w:val="both"/>
              <w:rPr>
                <w:rFonts w:ascii="Cambria" w:hAnsi="Cambria"/>
                <w:b/>
                <w:sz w:val="18"/>
              </w:rPr>
            </w:pPr>
            <w:r w:rsidRPr="0034439C">
              <w:rPr>
                <w:rFonts w:ascii="Cambria" w:hAnsi="Cambria"/>
                <w:sz w:val="18"/>
              </w:rPr>
              <w:t>-</w:t>
            </w:r>
            <w:r w:rsidRPr="0034439C">
              <w:rPr>
                <w:rFonts w:ascii="Cambria" w:hAnsi="Cambria"/>
                <w:b/>
                <w:color w:val="FF0000"/>
                <w:sz w:val="18"/>
              </w:rPr>
              <w:t xml:space="preserve">KADEME İLERLEMESİNİN DURDURULMASI  </w:t>
            </w:r>
            <w:r w:rsidRPr="0034439C">
              <w:rPr>
                <w:rFonts w:ascii="Cambria" w:hAnsi="Cambria"/>
                <w:sz w:val="18"/>
              </w:rPr>
              <w:t xml:space="preserve">cezalarında </w:t>
            </w:r>
            <w:r w:rsidRPr="0034439C">
              <w:rPr>
                <w:rFonts w:ascii="Cambria" w:hAnsi="Cambria"/>
                <w:b/>
                <w:color w:val="FF0000"/>
                <w:sz w:val="18"/>
              </w:rPr>
              <w:t xml:space="preserve">BİR AY </w:t>
            </w:r>
            <w:r w:rsidRPr="0034439C">
              <w:rPr>
                <w:rFonts w:ascii="Cambria" w:hAnsi="Cambria"/>
                <w:sz w:val="18"/>
              </w:rPr>
              <w:t>içinde disiplin soruşturmasına başlanmadığı takdirde disiplin</w:t>
            </w:r>
            <w:r w:rsidRPr="0034439C">
              <w:rPr>
                <w:rFonts w:ascii="Cambria" w:hAnsi="Cambria"/>
                <w:b/>
                <w:sz w:val="18"/>
              </w:rPr>
              <w:t xml:space="preserve"> </w:t>
            </w:r>
            <w:r w:rsidRPr="0034439C">
              <w:rPr>
                <w:rFonts w:ascii="Cambria" w:hAnsi="Cambria"/>
                <w:b/>
                <w:color w:val="FF0000"/>
                <w:sz w:val="18"/>
              </w:rPr>
              <w:t>SORUŞTURMASI AÇILAMAZ.</w:t>
            </w:r>
          </w:p>
          <w:p w:rsidR="0083119D" w:rsidRPr="0034439C" w:rsidRDefault="0083119D" w:rsidP="00BD19C8">
            <w:pPr>
              <w:pStyle w:val="AralkYok"/>
              <w:jc w:val="both"/>
              <w:rPr>
                <w:rFonts w:ascii="Cambria" w:hAnsi="Cambria"/>
                <w:b/>
                <w:bCs/>
                <w:color w:val="002060"/>
                <w:sz w:val="18"/>
              </w:rPr>
            </w:pPr>
          </w:p>
        </w:tc>
        <w:tc>
          <w:tcPr>
            <w:tcW w:w="1394" w:type="dxa"/>
            <w:shd w:val="clear" w:color="auto" w:fill="F2F2F2" w:themeFill="background1" w:themeFillShade="F2"/>
          </w:tcPr>
          <w:p w:rsidR="0083119D" w:rsidRPr="0034439C" w:rsidRDefault="0083119D" w:rsidP="00BD19C8">
            <w:pPr>
              <w:pStyle w:val="AralkYok"/>
              <w:jc w:val="both"/>
              <w:rPr>
                <w:rFonts w:ascii="Cambria" w:hAnsi="Cambria"/>
                <w:b/>
                <w:color w:val="FF0000"/>
                <w:sz w:val="18"/>
              </w:rPr>
            </w:pPr>
            <w:r w:rsidRPr="0034439C">
              <w:rPr>
                <w:rFonts w:ascii="Cambria" w:hAnsi="Cambria"/>
                <w:b/>
                <w:color w:val="FF0000"/>
                <w:sz w:val="18"/>
              </w:rPr>
              <w:t>10 YIL</w:t>
            </w:r>
          </w:p>
          <w:p w:rsidR="0083119D" w:rsidRPr="0034439C" w:rsidRDefault="0083119D" w:rsidP="00BD19C8">
            <w:pPr>
              <w:pStyle w:val="AralkYok"/>
              <w:jc w:val="both"/>
              <w:rPr>
                <w:rFonts w:ascii="Cambria" w:hAnsi="Cambria"/>
                <w:sz w:val="18"/>
              </w:rPr>
            </w:pPr>
            <w:r w:rsidRPr="0034439C">
              <w:rPr>
                <w:rFonts w:ascii="Cambria" w:hAnsi="Cambria"/>
                <w:color w:val="000000" w:themeColor="text1"/>
                <w:sz w:val="18"/>
              </w:rPr>
              <w:t>(İlgilinin, bu süreler içerisindeki davranışları, isteğini haklı kılacak nitelikte görülürse, talep yerine getirilir)</w:t>
            </w:r>
          </w:p>
        </w:tc>
        <w:tc>
          <w:tcPr>
            <w:tcW w:w="2665" w:type="dxa"/>
            <w:shd w:val="clear" w:color="auto" w:fill="F2F2F2" w:themeFill="background1" w:themeFillShade="F2"/>
          </w:tcPr>
          <w:p w:rsidR="0083119D" w:rsidRPr="0034439C" w:rsidRDefault="0083119D" w:rsidP="00BD19C8">
            <w:pPr>
              <w:pStyle w:val="AralkYok"/>
              <w:jc w:val="both"/>
              <w:rPr>
                <w:rFonts w:ascii="Cambria" w:hAnsi="Cambria"/>
                <w:sz w:val="18"/>
              </w:rPr>
            </w:pPr>
            <w:r w:rsidRPr="0034439C">
              <w:rPr>
                <w:rFonts w:ascii="Cambria" w:hAnsi="Cambria"/>
                <w:sz w:val="18"/>
              </w:rPr>
              <w:t xml:space="preserve">Disiplin cezası verilmesini gerektiren fiillerin işlendiği tarihten itibaren </w:t>
            </w:r>
            <w:r w:rsidRPr="0034439C">
              <w:rPr>
                <w:rFonts w:ascii="Cambria" w:hAnsi="Cambria"/>
                <w:b/>
                <w:color w:val="FF0000"/>
                <w:sz w:val="18"/>
              </w:rPr>
              <w:t xml:space="preserve">İKİ YIL </w:t>
            </w:r>
            <w:r w:rsidRPr="0034439C">
              <w:rPr>
                <w:rFonts w:ascii="Cambria" w:hAnsi="Cambria"/>
                <w:sz w:val="18"/>
              </w:rPr>
              <w:t xml:space="preserve">geçmiş ise disiplin cezası verilemez. </w:t>
            </w:r>
          </w:p>
          <w:p w:rsidR="0083119D" w:rsidRPr="0034439C" w:rsidRDefault="0083119D" w:rsidP="00BD19C8">
            <w:pPr>
              <w:pStyle w:val="AralkYok"/>
              <w:jc w:val="both"/>
              <w:rPr>
                <w:rFonts w:ascii="Cambria" w:hAnsi="Cambria"/>
                <w:sz w:val="18"/>
              </w:rPr>
            </w:pPr>
          </w:p>
          <w:p w:rsidR="0083119D" w:rsidRPr="0034439C" w:rsidRDefault="0083119D" w:rsidP="00BD19C8">
            <w:pPr>
              <w:pStyle w:val="AralkYok"/>
              <w:jc w:val="both"/>
              <w:rPr>
                <w:rFonts w:ascii="Cambria" w:hAnsi="Cambria"/>
                <w:b/>
                <w:bCs/>
                <w:color w:val="002060"/>
                <w:sz w:val="18"/>
              </w:rPr>
            </w:pPr>
            <w:r w:rsidRPr="0034439C">
              <w:rPr>
                <w:rFonts w:ascii="Cambria" w:hAnsi="Cambria"/>
                <w:sz w:val="18"/>
              </w:rPr>
              <w:t xml:space="preserve">Disiplin cezasının yargı kararıyla iptal edilmesi hâlinde, kararın idareye ulaştığı tarihten itibaren kalan disiplin ceza zamanaşımı süresi içerisinde, zamanaşımı süresinin dolması veya </w:t>
            </w:r>
            <w:r w:rsidRPr="0034439C">
              <w:rPr>
                <w:rFonts w:ascii="Cambria" w:hAnsi="Cambria"/>
                <w:b/>
                <w:color w:val="FF0000"/>
                <w:sz w:val="18"/>
              </w:rPr>
              <w:t>ÜÇ AYDAN</w:t>
            </w:r>
            <w:r w:rsidRPr="0034439C">
              <w:rPr>
                <w:rFonts w:ascii="Cambria" w:hAnsi="Cambria"/>
                <w:color w:val="FF0000"/>
                <w:sz w:val="18"/>
              </w:rPr>
              <w:t xml:space="preserve"> </w:t>
            </w:r>
            <w:r w:rsidRPr="0034439C">
              <w:rPr>
                <w:rFonts w:ascii="Cambria" w:hAnsi="Cambria"/>
                <w:sz w:val="18"/>
              </w:rPr>
              <w:t xml:space="preserve">daha az süre kalması hâlinde en geç </w:t>
            </w:r>
            <w:r w:rsidRPr="0034439C">
              <w:rPr>
                <w:rFonts w:ascii="Cambria" w:hAnsi="Cambria"/>
                <w:b/>
                <w:color w:val="FF0000"/>
                <w:sz w:val="18"/>
              </w:rPr>
              <w:t>ÜÇ AY</w:t>
            </w:r>
            <w:r w:rsidRPr="0034439C">
              <w:rPr>
                <w:rFonts w:ascii="Cambria" w:hAnsi="Cambria"/>
                <w:color w:val="FF0000"/>
                <w:sz w:val="18"/>
              </w:rPr>
              <w:t xml:space="preserve"> </w:t>
            </w:r>
            <w:r w:rsidRPr="0034439C">
              <w:rPr>
                <w:rFonts w:ascii="Cambria" w:hAnsi="Cambria"/>
                <w:sz w:val="18"/>
              </w:rPr>
              <w:t>içerisinde karar gerekçesi dikkate alınarak yeniden disiplin cezası tesis edilebilir.</w:t>
            </w:r>
          </w:p>
        </w:tc>
      </w:tr>
    </w:tbl>
    <w:p w:rsidR="00107D0A" w:rsidRPr="0034439C" w:rsidRDefault="00107D0A" w:rsidP="00B06ACB">
      <w:pPr>
        <w:tabs>
          <w:tab w:val="left" w:pos="10320"/>
        </w:tabs>
        <w:spacing w:after="0"/>
        <w:rPr>
          <w:rFonts w:ascii="Cambria" w:hAnsi="Cambria"/>
          <w:b/>
          <w:bCs/>
          <w:color w:val="002060"/>
          <w:sz w:val="18"/>
        </w:rPr>
      </w:pPr>
    </w:p>
    <w:sectPr w:rsidR="00107D0A" w:rsidRPr="0034439C" w:rsidSect="0034439C">
      <w:headerReference w:type="even" r:id="rId7"/>
      <w:headerReference w:type="default" r:id="rId8"/>
      <w:footerReference w:type="even" r:id="rId9"/>
      <w:footerReference w:type="default" r:id="rId10"/>
      <w:headerReference w:type="first" r:id="rId11"/>
      <w:footerReference w:type="first" r:id="rId12"/>
      <w:pgSz w:w="16838" w:h="11906" w:orient="landscape"/>
      <w:pgMar w:top="1418" w:right="1134" w:bottom="1418" w:left="1134" w:header="51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106" w:rsidRDefault="00740106" w:rsidP="00534F7F">
      <w:pPr>
        <w:spacing w:after="0" w:line="240" w:lineRule="auto"/>
      </w:pPr>
      <w:r>
        <w:separator/>
      </w:r>
    </w:p>
  </w:endnote>
  <w:endnote w:type="continuationSeparator" w:id="0">
    <w:p w:rsidR="00740106" w:rsidRDefault="00740106"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21" w:rsidRDefault="00845C2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F7F" w:rsidRPr="002B7435" w:rsidRDefault="00534F7F" w:rsidP="00534F7F">
    <w:pPr>
      <w:pStyle w:val="AralkYok"/>
      <w:pBdr>
        <w:top w:val="single" w:sz="4" w:space="1" w:color="BFBFBF" w:themeColor="background1" w:themeShade="BF"/>
      </w:pBdr>
      <w:rPr>
        <w:sz w:val="6"/>
        <w:szCs w:val="6"/>
      </w:rP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21" w:rsidRDefault="00845C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106" w:rsidRDefault="00740106" w:rsidP="00534F7F">
      <w:pPr>
        <w:spacing w:after="0" w:line="240" w:lineRule="auto"/>
      </w:pPr>
      <w:r>
        <w:separator/>
      </w:r>
    </w:p>
  </w:footnote>
  <w:footnote w:type="continuationSeparator" w:id="0">
    <w:p w:rsidR="00740106" w:rsidRDefault="00740106" w:rsidP="00534F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21" w:rsidRDefault="00845C2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9502"/>
      <w:gridCol w:w="1418"/>
      <w:gridCol w:w="1134"/>
    </w:tblGrid>
    <w:tr w:rsidR="00534F7F" w:rsidTr="00D04D2D">
      <w:trPr>
        <w:trHeight w:val="189"/>
      </w:trPr>
      <w:tc>
        <w:tcPr>
          <w:tcW w:w="2547" w:type="dxa"/>
          <w:vMerge w:val="restart"/>
        </w:tcPr>
        <w:p w:rsidR="00534F7F" w:rsidRDefault="00534F7F" w:rsidP="00534F7F">
          <w:pPr>
            <w:pStyle w:val="stbilgi"/>
            <w:ind w:left="-115" w:right="-110"/>
          </w:pPr>
        </w:p>
      </w:tc>
      <w:tc>
        <w:tcPr>
          <w:tcW w:w="9502" w:type="dxa"/>
          <w:vMerge w:val="restart"/>
          <w:tcBorders>
            <w:right w:val="single" w:sz="4" w:space="0" w:color="BFBFBF" w:themeColor="background1" w:themeShade="BF"/>
          </w:tcBorders>
          <w:vAlign w:val="center"/>
        </w:tcPr>
        <w:p w:rsidR="00534F7F" w:rsidRPr="0092378E" w:rsidRDefault="00727F9D" w:rsidP="00437CF7">
          <w:pPr>
            <w:pStyle w:val="stbilgi"/>
            <w:jc w:val="center"/>
            <w:rPr>
              <w:rFonts w:ascii="Cambria" w:hAnsi="Cambria"/>
              <w:b/>
            </w:rPr>
          </w:pPr>
          <w:r>
            <w:rPr>
              <w:rFonts w:ascii="Cambria" w:hAnsi="Cambria"/>
              <w:b/>
              <w:color w:val="002060"/>
              <w:sz w:val="24"/>
            </w:rPr>
            <w:t>YÜKSEKÖĞRETİMDE DİSİPLİN SORUŞTURMASI İŞLEMLERİ</w:t>
          </w:r>
        </w:p>
      </w:tc>
      <w:tc>
        <w:tcPr>
          <w:tcW w:w="1418"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D23B84">
          <w:pPr>
            <w:pStyle w:val="stbilgi"/>
            <w:rPr>
              <w:rFonts w:ascii="Cambria" w:hAnsi="Cambria"/>
              <w:color w:val="002060"/>
              <w:sz w:val="16"/>
              <w:szCs w:val="16"/>
            </w:rPr>
          </w:pP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D23B84" w:rsidRPr="00171789" w:rsidRDefault="00D23B84" w:rsidP="00D23B84">
          <w:pPr>
            <w:pStyle w:val="stbilgi"/>
            <w:rPr>
              <w:rFonts w:ascii="Cambria" w:hAnsi="Cambria"/>
              <w:color w:val="002060"/>
              <w:sz w:val="16"/>
              <w:szCs w:val="16"/>
            </w:rPr>
          </w:pPr>
        </w:p>
      </w:tc>
    </w:tr>
    <w:tr w:rsidR="00534F7F" w:rsidTr="00D04D2D">
      <w:trPr>
        <w:trHeight w:val="187"/>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p>
      </w:tc>
    </w:tr>
    <w:tr w:rsidR="00534F7F" w:rsidTr="00D04D2D">
      <w:trPr>
        <w:trHeight w:val="220"/>
      </w:trPr>
      <w:tc>
        <w:tcPr>
          <w:tcW w:w="2547" w:type="dxa"/>
          <w:vMerge/>
        </w:tcPr>
        <w:p w:rsidR="00534F7F" w:rsidRDefault="00534F7F" w:rsidP="00534F7F">
          <w:pPr>
            <w:pStyle w:val="stbilgi"/>
            <w:rPr>
              <w:noProof/>
              <w:lang w:eastAsia="tr-TR"/>
            </w:rPr>
          </w:pPr>
        </w:p>
      </w:tc>
      <w:tc>
        <w:tcPr>
          <w:tcW w:w="9502" w:type="dxa"/>
          <w:vMerge/>
          <w:tcBorders>
            <w:right w:val="single" w:sz="4" w:space="0" w:color="BFBFBF" w:themeColor="background1" w:themeShade="BF"/>
          </w:tcBorders>
          <w:vAlign w:val="center"/>
        </w:tcPr>
        <w:p w:rsidR="00534F7F" w:rsidRDefault="00534F7F" w:rsidP="00534F7F">
          <w:pPr>
            <w:pStyle w:val="stbilgi"/>
            <w:jc w:val="center"/>
          </w:pPr>
        </w:p>
      </w:tc>
      <w:tc>
        <w:tcPr>
          <w:tcW w:w="1418"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534F7F">
          <w:pPr>
            <w:pStyle w:val="stbilgi"/>
            <w:rPr>
              <w:rFonts w:ascii="Cambria" w:hAnsi="Cambria"/>
              <w:sz w:val="16"/>
              <w:szCs w:val="16"/>
            </w:rPr>
          </w:pP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p>
      </w:tc>
    </w:tr>
  </w:tbl>
  <w:p w:rsidR="00F958F7" w:rsidRPr="00D04D2D" w:rsidRDefault="00F958F7">
    <w:pPr>
      <w:pStyle w:val="stbilgi"/>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C21" w:rsidRDefault="00845C2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14DDB"/>
    <w:rsid w:val="000B5CD3"/>
    <w:rsid w:val="000D2167"/>
    <w:rsid w:val="000F091A"/>
    <w:rsid w:val="00107D0A"/>
    <w:rsid w:val="00116355"/>
    <w:rsid w:val="001368C2"/>
    <w:rsid w:val="0015666B"/>
    <w:rsid w:val="00164950"/>
    <w:rsid w:val="00176CE6"/>
    <w:rsid w:val="001F16FF"/>
    <w:rsid w:val="0020508C"/>
    <w:rsid w:val="00271BDB"/>
    <w:rsid w:val="002F0FD6"/>
    <w:rsid w:val="00322432"/>
    <w:rsid w:val="003230A8"/>
    <w:rsid w:val="0034439C"/>
    <w:rsid w:val="00350604"/>
    <w:rsid w:val="00394017"/>
    <w:rsid w:val="003C0F72"/>
    <w:rsid w:val="003D72D5"/>
    <w:rsid w:val="004061F0"/>
    <w:rsid w:val="00406E3A"/>
    <w:rsid w:val="004232E9"/>
    <w:rsid w:val="00437CF7"/>
    <w:rsid w:val="004502C4"/>
    <w:rsid w:val="004B24B6"/>
    <w:rsid w:val="0050471B"/>
    <w:rsid w:val="00507D21"/>
    <w:rsid w:val="00534F7F"/>
    <w:rsid w:val="00561AEB"/>
    <w:rsid w:val="00587671"/>
    <w:rsid w:val="005B0C52"/>
    <w:rsid w:val="005B25C0"/>
    <w:rsid w:val="006319F6"/>
    <w:rsid w:val="00634E90"/>
    <w:rsid w:val="0064705C"/>
    <w:rsid w:val="00727F9D"/>
    <w:rsid w:val="00740106"/>
    <w:rsid w:val="007A5045"/>
    <w:rsid w:val="007B5CCD"/>
    <w:rsid w:val="0083119D"/>
    <w:rsid w:val="00845809"/>
    <w:rsid w:val="00845C21"/>
    <w:rsid w:val="00846AD8"/>
    <w:rsid w:val="008B1B67"/>
    <w:rsid w:val="00900183"/>
    <w:rsid w:val="00925B46"/>
    <w:rsid w:val="009A0B72"/>
    <w:rsid w:val="009A4A3A"/>
    <w:rsid w:val="009B38D9"/>
    <w:rsid w:val="009F780B"/>
    <w:rsid w:val="00A5214F"/>
    <w:rsid w:val="00A54148"/>
    <w:rsid w:val="00B01B8D"/>
    <w:rsid w:val="00B06ACB"/>
    <w:rsid w:val="00B06BD3"/>
    <w:rsid w:val="00B128A6"/>
    <w:rsid w:val="00B16D46"/>
    <w:rsid w:val="00BA00EF"/>
    <w:rsid w:val="00BD19C8"/>
    <w:rsid w:val="00BE3E80"/>
    <w:rsid w:val="00BF5DCA"/>
    <w:rsid w:val="00C1281E"/>
    <w:rsid w:val="00C564A8"/>
    <w:rsid w:val="00CC3E17"/>
    <w:rsid w:val="00CF5DBC"/>
    <w:rsid w:val="00CF6F2C"/>
    <w:rsid w:val="00D00CA5"/>
    <w:rsid w:val="00D04D2D"/>
    <w:rsid w:val="00D12508"/>
    <w:rsid w:val="00D23B84"/>
    <w:rsid w:val="00D44095"/>
    <w:rsid w:val="00D55C60"/>
    <w:rsid w:val="00D84411"/>
    <w:rsid w:val="00DA5C26"/>
    <w:rsid w:val="00E63D92"/>
    <w:rsid w:val="00EB2618"/>
    <w:rsid w:val="00EB72A7"/>
    <w:rsid w:val="00ED2226"/>
    <w:rsid w:val="00F478AB"/>
    <w:rsid w:val="00F5710E"/>
    <w:rsid w:val="00F66833"/>
    <w:rsid w:val="00F958F7"/>
    <w:rsid w:val="00FB48A7"/>
    <w:rsid w:val="00FE3325"/>
    <w:rsid w:val="00FF0C5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E90"/>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DzTablo1">
    <w:name w:val="Plain Table 1"/>
    <w:basedOn w:val="NormalTablo"/>
    <w:uiPriority w:val="41"/>
    <w:rsid w:val="005B0C5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634E90"/>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ListeParagraf">
    <w:name w:val="List Paragraph"/>
    <w:basedOn w:val="Normal"/>
    <w:uiPriority w:val="34"/>
    <w:qFormat/>
    <w:rsid w:val="00B06ACB"/>
    <w:pPr>
      <w:spacing w:after="160" w:line="259" w:lineRule="auto"/>
      <w:ind w:left="720"/>
      <w:contextualSpacing/>
    </w:pPr>
  </w:style>
  <w:style w:type="character" w:styleId="Kpr">
    <w:name w:val="Hyperlink"/>
    <w:basedOn w:val="VarsaylanParagrafYazTipi"/>
    <w:uiPriority w:val="99"/>
    <w:unhideWhenUsed/>
    <w:rsid w:val="005047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87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76DB0-4658-450D-9F1C-461A4367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3454</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2</cp:revision>
  <cp:lastPrinted>2020-04-15T23:35:00Z</cp:lastPrinted>
  <dcterms:created xsi:type="dcterms:W3CDTF">2020-04-20T11:16:00Z</dcterms:created>
  <dcterms:modified xsi:type="dcterms:W3CDTF">2020-04-20T11:16:00Z</dcterms:modified>
</cp:coreProperties>
</file>